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770" w:rsidRDefault="00076770" w:rsidP="00BA7A97">
      <w:pPr>
        <w:jc w:val="center"/>
      </w:pPr>
      <w:r>
        <w:t>დასაბუთება</w:t>
      </w:r>
    </w:p>
    <w:p w:rsidR="00076770" w:rsidRPr="00A32BB9" w:rsidRDefault="00076770" w:rsidP="00BA7A97">
      <w:pPr>
        <w:jc w:val="center"/>
        <w:rPr>
          <w:sz w:val="24"/>
          <w:szCs w:val="24"/>
        </w:rPr>
      </w:pPr>
    </w:p>
    <w:p w:rsidR="00BA7A97" w:rsidRPr="00A32BB9" w:rsidRDefault="00076770" w:rsidP="00BA7A97">
      <w:pPr>
        <w:jc w:val="center"/>
        <w:rPr>
          <w:sz w:val="24"/>
          <w:szCs w:val="24"/>
        </w:rPr>
      </w:pPr>
      <w:r w:rsidRPr="00A32BB9">
        <w:rPr>
          <w:sz w:val="24"/>
          <w:szCs w:val="24"/>
        </w:rPr>
        <w:t xml:space="preserve"> </w:t>
      </w:r>
      <w:r w:rsidR="00BA7A97" w:rsidRPr="00A32BB9">
        <w:rPr>
          <w:sz w:val="24"/>
          <w:szCs w:val="24"/>
        </w:rPr>
        <w:t>‘’ლიცენზიებისა და ნებართვების შესახებ’’ საქართველოს  კანონში ცვლილების შეტანის თაობაზე’’ საქართველოს კანონის პროექტზე</w:t>
      </w:r>
    </w:p>
    <w:p w:rsidR="00076770" w:rsidRPr="00A32BB9" w:rsidRDefault="00076770" w:rsidP="00BA7A97">
      <w:pPr>
        <w:jc w:val="center"/>
        <w:rPr>
          <w:sz w:val="24"/>
          <w:szCs w:val="24"/>
        </w:rPr>
      </w:pPr>
      <w:r w:rsidRPr="00A32BB9">
        <w:rPr>
          <w:sz w:val="24"/>
          <w:szCs w:val="24"/>
        </w:rPr>
        <w:t>(ცენტრის ვერსია)</w:t>
      </w:r>
    </w:p>
    <w:p w:rsidR="00BA7A97" w:rsidRPr="00A32BB9" w:rsidRDefault="00BA7A97" w:rsidP="00BA7A97">
      <w:pPr>
        <w:jc w:val="center"/>
        <w:rPr>
          <w:sz w:val="24"/>
          <w:szCs w:val="24"/>
        </w:rPr>
      </w:pPr>
    </w:p>
    <w:p w:rsidR="00E93AB5" w:rsidRPr="00A32BB9" w:rsidRDefault="00E93AB5" w:rsidP="00E93AB5">
      <w:pPr>
        <w:jc w:val="both"/>
        <w:rPr>
          <w:rFonts w:ascii="Sylfaen" w:hAnsi="Sylfaen" w:cs="Sylfaen"/>
          <w:sz w:val="24"/>
          <w:szCs w:val="24"/>
        </w:rPr>
      </w:pPr>
      <w:r w:rsidRPr="00A32BB9">
        <w:rPr>
          <w:rFonts w:asciiTheme="majorHAnsi" w:hAnsiTheme="majorHAnsi"/>
          <w:sz w:val="24"/>
          <w:szCs w:val="24"/>
        </w:rPr>
        <w:t xml:space="preserve">წინამდებარე </w:t>
      </w:r>
      <w:r w:rsidR="00111039" w:rsidRPr="00A32BB9">
        <w:rPr>
          <w:rFonts w:asciiTheme="majorHAnsi" w:hAnsiTheme="majorHAnsi"/>
          <w:sz w:val="24"/>
          <w:szCs w:val="24"/>
        </w:rPr>
        <w:t xml:space="preserve">კანონპროექტი შემუშავდა </w:t>
      </w:r>
      <w:r w:rsidR="00111039" w:rsidRPr="00A32BB9">
        <w:rPr>
          <w:sz w:val="24"/>
          <w:szCs w:val="24"/>
        </w:rPr>
        <w:t xml:space="preserve">‘’ლიცენზიებისა და ნებართვების შესახებ’’ საქართველოს  კანონში ცვლილების შეტანის თაობაზე’’ </w:t>
      </w:r>
      <w:r w:rsidR="00111039" w:rsidRPr="00A32BB9">
        <w:rPr>
          <w:sz w:val="24"/>
          <w:szCs w:val="24"/>
        </w:rPr>
        <w:t xml:space="preserve"> იმ </w:t>
      </w:r>
      <w:r w:rsidR="00111039" w:rsidRPr="00A32BB9">
        <w:rPr>
          <w:sz w:val="24"/>
          <w:szCs w:val="24"/>
        </w:rPr>
        <w:t xml:space="preserve"> </w:t>
      </w:r>
      <w:r w:rsidR="00111039" w:rsidRPr="00A32BB9">
        <w:rPr>
          <w:rFonts w:asciiTheme="majorHAnsi" w:hAnsiTheme="majorHAnsi"/>
          <w:sz w:val="24"/>
          <w:szCs w:val="24"/>
        </w:rPr>
        <w:t xml:space="preserve">კანონპროექტის </w:t>
      </w:r>
      <w:r w:rsidRPr="00A32BB9">
        <w:rPr>
          <w:rFonts w:asciiTheme="majorHAnsi" w:hAnsiTheme="majorHAnsi"/>
          <w:sz w:val="24"/>
          <w:szCs w:val="24"/>
        </w:rPr>
        <w:t xml:space="preserve"> </w:t>
      </w:r>
      <w:r w:rsidR="00076770" w:rsidRPr="00A32BB9">
        <w:rPr>
          <w:rFonts w:asciiTheme="majorHAnsi" w:hAnsiTheme="majorHAnsi"/>
          <w:sz w:val="24"/>
          <w:szCs w:val="24"/>
        </w:rPr>
        <w:t>საქართ</w:t>
      </w:r>
      <w:r w:rsidRPr="00A32BB9">
        <w:rPr>
          <w:rFonts w:asciiTheme="majorHAnsi" w:hAnsiTheme="majorHAnsi"/>
          <w:sz w:val="24"/>
          <w:szCs w:val="24"/>
        </w:rPr>
        <w:t xml:space="preserve">ველოს პარლამენტის დარგობრივ და ჯანდაცვის კომიტეტებში </w:t>
      </w:r>
      <w:r w:rsidR="00111039" w:rsidRPr="00A32BB9">
        <w:rPr>
          <w:rFonts w:asciiTheme="majorHAnsi" w:hAnsiTheme="majorHAnsi"/>
          <w:sz w:val="24"/>
          <w:szCs w:val="24"/>
        </w:rPr>
        <w:t>განხილვების შედეგად, რომ</w:t>
      </w:r>
      <w:r w:rsidR="00076770" w:rsidRPr="00A32BB9">
        <w:rPr>
          <w:rFonts w:asciiTheme="majorHAnsi" w:hAnsiTheme="majorHAnsi"/>
          <w:sz w:val="24"/>
          <w:szCs w:val="24"/>
        </w:rPr>
        <w:t>ელ</w:t>
      </w:r>
      <w:r w:rsidR="00111039" w:rsidRPr="00A32BB9">
        <w:rPr>
          <w:rFonts w:asciiTheme="majorHAnsi" w:hAnsiTheme="majorHAnsi"/>
          <w:sz w:val="24"/>
          <w:szCs w:val="24"/>
        </w:rPr>
        <w:t xml:space="preserve">იც 2014 წლის </w:t>
      </w:r>
      <w:r w:rsidRPr="00A32BB9">
        <w:rPr>
          <w:rFonts w:asciiTheme="majorHAnsi" w:hAnsiTheme="majorHAnsi"/>
          <w:sz w:val="24"/>
          <w:szCs w:val="24"/>
        </w:rPr>
        <w:t>საქართ</w:t>
      </w:r>
      <w:r w:rsidR="00111039" w:rsidRPr="00A32BB9">
        <w:rPr>
          <w:rFonts w:asciiTheme="majorHAnsi" w:hAnsiTheme="majorHAnsi"/>
          <w:sz w:val="24"/>
          <w:szCs w:val="24"/>
        </w:rPr>
        <w:t xml:space="preserve">ველოს </w:t>
      </w:r>
      <w:r w:rsidRPr="00A32BB9">
        <w:rPr>
          <w:rFonts w:asciiTheme="majorHAnsi" w:hAnsiTheme="majorHAnsi"/>
          <w:sz w:val="24"/>
          <w:szCs w:val="24"/>
        </w:rPr>
        <w:t>მთ</w:t>
      </w:r>
      <w:r w:rsidR="00111039" w:rsidRPr="00A32BB9">
        <w:rPr>
          <w:rFonts w:asciiTheme="majorHAnsi" w:hAnsiTheme="majorHAnsi"/>
          <w:sz w:val="24"/>
          <w:szCs w:val="24"/>
        </w:rPr>
        <w:t xml:space="preserve">ავრობის სხდომის მოწონების შემდგომ გაეგზავნა </w:t>
      </w:r>
      <w:r w:rsidRPr="00A32BB9">
        <w:rPr>
          <w:rFonts w:asciiTheme="majorHAnsi" w:hAnsiTheme="majorHAnsi"/>
          <w:sz w:val="24"/>
          <w:szCs w:val="24"/>
        </w:rPr>
        <w:t>საქრთ</w:t>
      </w:r>
      <w:r w:rsidR="00111039" w:rsidRPr="00A32BB9">
        <w:rPr>
          <w:rFonts w:asciiTheme="majorHAnsi" w:hAnsiTheme="majorHAnsi"/>
          <w:sz w:val="24"/>
          <w:szCs w:val="24"/>
        </w:rPr>
        <w:t>ველო</w:t>
      </w:r>
      <w:r w:rsidR="00076770" w:rsidRPr="00A32BB9">
        <w:rPr>
          <w:rFonts w:asciiTheme="majorHAnsi" w:hAnsiTheme="majorHAnsi"/>
          <w:sz w:val="24"/>
          <w:szCs w:val="24"/>
        </w:rPr>
        <w:t>ს</w:t>
      </w:r>
      <w:r w:rsidR="00111039" w:rsidRPr="00A32BB9">
        <w:rPr>
          <w:rFonts w:asciiTheme="majorHAnsi" w:hAnsiTheme="majorHAnsi"/>
          <w:sz w:val="24"/>
          <w:szCs w:val="24"/>
        </w:rPr>
        <w:t xml:space="preserve"> პარლამენტს განსახილველად, რომ</w:t>
      </w:r>
      <w:r w:rsidRPr="00A32BB9">
        <w:rPr>
          <w:rFonts w:asciiTheme="majorHAnsi" w:hAnsiTheme="majorHAnsi"/>
          <w:sz w:val="24"/>
          <w:szCs w:val="24"/>
        </w:rPr>
        <w:t>ელ</w:t>
      </w:r>
      <w:r w:rsidR="00111039" w:rsidRPr="00A32BB9">
        <w:rPr>
          <w:rFonts w:asciiTheme="majorHAnsi" w:hAnsiTheme="majorHAnsi"/>
          <w:sz w:val="24"/>
          <w:szCs w:val="24"/>
        </w:rPr>
        <w:t>იც ითვალისწინებს</w:t>
      </w:r>
      <w:r w:rsidRPr="00A32BB9">
        <w:rPr>
          <w:rFonts w:asciiTheme="majorHAnsi" w:hAnsiTheme="majorHAnsi"/>
          <w:sz w:val="24"/>
          <w:szCs w:val="24"/>
        </w:rPr>
        <w:t xml:space="preserve"> </w:t>
      </w:r>
      <w:r w:rsidR="00111039" w:rsidRPr="00A32BB9">
        <w:rPr>
          <w:rFonts w:asciiTheme="majorHAnsi" w:hAnsiTheme="majorHAnsi"/>
          <w:sz w:val="24"/>
          <w:szCs w:val="24"/>
        </w:rPr>
        <w:t>‘’ლიცენზიებისა და ნებართვების შესახებ’’ საქართველოს კანონში</w:t>
      </w:r>
      <w:r w:rsidRPr="00A32BB9">
        <w:rPr>
          <w:rFonts w:asciiTheme="majorHAnsi" w:hAnsiTheme="majorHAnsi"/>
          <w:sz w:val="24"/>
          <w:szCs w:val="24"/>
        </w:rPr>
        <w:t xml:space="preserve"> (მუხლი 6, პუნქტი 72</w:t>
      </w:r>
      <w:r w:rsidRPr="00A32BB9">
        <w:rPr>
          <w:rFonts w:asciiTheme="majorHAnsi" w:hAnsiTheme="majorHAnsi"/>
          <w:sz w:val="24"/>
          <w:szCs w:val="24"/>
          <w:vertAlign w:val="superscript"/>
        </w:rPr>
        <w:t>4</w:t>
      </w:r>
      <w:r w:rsidR="00111039" w:rsidRPr="00A32BB9">
        <w:rPr>
          <w:rFonts w:asciiTheme="majorHAnsi" w:hAnsiTheme="majorHAnsi"/>
          <w:sz w:val="24"/>
          <w:szCs w:val="24"/>
        </w:rPr>
        <w:t xml:space="preserve"> </w:t>
      </w:r>
      <w:r w:rsidRPr="00A32BB9">
        <w:rPr>
          <w:rFonts w:asciiTheme="majorHAnsi" w:hAnsiTheme="majorHAnsi"/>
          <w:sz w:val="24"/>
          <w:szCs w:val="24"/>
        </w:rPr>
        <w:t>)</w:t>
      </w:r>
      <w:r w:rsidR="00111039" w:rsidRPr="00A32BB9">
        <w:rPr>
          <w:rFonts w:asciiTheme="majorHAnsi" w:hAnsiTheme="majorHAnsi"/>
          <w:sz w:val="24"/>
          <w:szCs w:val="24"/>
        </w:rPr>
        <w:t xml:space="preserve"> </w:t>
      </w:r>
      <w:r w:rsidRPr="00A32BB9">
        <w:rPr>
          <w:rFonts w:asciiTheme="majorHAnsi" w:hAnsiTheme="majorHAnsi"/>
          <w:sz w:val="24"/>
          <w:szCs w:val="24"/>
        </w:rPr>
        <w:t>დღ</w:t>
      </w:r>
      <w:r w:rsidR="00111039" w:rsidRPr="00A32BB9">
        <w:rPr>
          <w:rFonts w:asciiTheme="majorHAnsi" w:hAnsiTheme="majorHAnsi"/>
          <w:sz w:val="24"/>
          <w:szCs w:val="24"/>
        </w:rPr>
        <w:t xml:space="preserve">ეს არსებული </w:t>
      </w:r>
      <w:r w:rsidRPr="00A32BB9">
        <w:rPr>
          <w:rFonts w:asciiTheme="majorHAnsi" w:hAnsiTheme="majorHAnsi" w:cs="Sylfaen"/>
          <w:sz w:val="24"/>
          <w:szCs w:val="24"/>
        </w:rPr>
        <w:t>-</w:t>
      </w:r>
      <w:r w:rsidR="00111039" w:rsidRPr="00A32BB9">
        <w:rPr>
          <w:rFonts w:asciiTheme="majorHAnsi" w:hAnsiTheme="majorHAnsi" w:cs="Sylfaen"/>
          <w:sz w:val="24"/>
          <w:szCs w:val="24"/>
        </w:rPr>
        <w:t xml:space="preserve"> განსაკუთრებით საშიშ პათოგენებზე საქმიანობის ლიცენზი</w:t>
      </w:r>
      <w:r w:rsidRPr="00A32BB9">
        <w:rPr>
          <w:rFonts w:asciiTheme="majorHAnsi" w:hAnsiTheme="majorHAnsi" w:cs="Sylfaen"/>
          <w:sz w:val="24"/>
          <w:szCs w:val="24"/>
        </w:rPr>
        <w:t xml:space="preserve">იდან  </w:t>
      </w:r>
      <w:r w:rsidRPr="00A32BB9">
        <w:rPr>
          <w:rFonts w:ascii="Sylfaen" w:hAnsi="Sylfaen" w:cs="Sylfaen"/>
          <w:sz w:val="24"/>
          <w:szCs w:val="24"/>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w:t>
      </w:r>
      <w:r w:rsidRPr="00A32BB9">
        <w:rPr>
          <w:rFonts w:ascii="Sylfaen" w:hAnsi="Sylfaen" w:cs="Sylfaen"/>
          <w:sz w:val="24"/>
          <w:szCs w:val="24"/>
        </w:rPr>
        <w:t xml:space="preserve"> (შემდგომში -ცენტრი)  </w:t>
      </w:r>
      <w:r w:rsidR="00076770" w:rsidRPr="00A32BB9">
        <w:rPr>
          <w:rFonts w:ascii="Sylfaen" w:hAnsi="Sylfaen" w:cs="Sylfaen"/>
          <w:sz w:val="24"/>
          <w:szCs w:val="24"/>
        </w:rPr>
        <w:t>გათ</w:t>
      </w:r>
      <w:r w:rsidRPr="00A32BB9">
        <w:rPr>
          <w:rFonts w:ascii="Sylfaen" w:hAnsi="Sylfaen" w:cs="Sylfaen"/>
          <w:sz w:val="24"/>
          <w:szCs w:val="24"/>
        </w:rPr>
        <w:t xml:space="preserve">ავისუფლების გარდა, </w:t>
      </w:r>
      <w:r w:rsidR="00076770" w:rsidRPr="00A32BB9">
        <w:rPr>
          <w:rFonts w:ascii="Sylfaen" w:hAnsi="Sylfaen" w:cs="Sylfaen"/>
          <w:sz w:val="24"/>
          <w:szCs w:val="24"/>
        </w:rPr>
        <w:t xml:space="preserve">ლიცენზიიდან </w:t>
      </w:r>
      <w:r w:rsidRPr="00A32BB9">
        <w:rPr>
          <w:rFonts w:ascii="Sylfaen" w:hAnsi="Sylfaen" w:cs="Sylfaen"/>
          <w:sz w:val="24"/>
          <w:szCs w:val="24"/>
        </w:rPr>
        <w:t xml:space="preserve">ასევე გათავისუფლედეს   </w:t>
      </w:r>
      <w:r w:rsidRPr="00A32BB9">
        <w:rPr>
          <w:rFonts w:ascii="Sylfaen" w:hAnsi="Sylfaen" w:cs="Sylfaen"/>
          <w:sz w:val="24"/>
          <w:szCs w:val="24"/>
        </w:rPr>
        <w:t>საჯარო სამართლის იურიდიულ</w:t>
      </w:r>
      <w:r w:rsidRPr="00A32BB9">
        <w:rPr>
          <w:rFonts w:ascii="Sylfaen" w:hAnsi="Sylfaen" w:cs="Sylfaen"/>
          <w:sz w:val="24"/>
          <w:szCs w:val="24"/>
        </w:rPr>
        <w:t xml:space="preserve">ი პირი </w:t>
      </w:r>
      <w:r w:rsidRPr="00A32BB9">
        <w:rPr>
          <w:rFonts w:ascii="Sylfaen" w:hAnsi="Sylfaen" w:cs="Sylfaen"/>
          <w:sz w:val="24"/>
          <w:szCs w:val="24"/>
        </w:rPr>
        <w:t xml:space="preserve">- საქართველოს სოფლის მეურნეობის სამინისტროს </w:t>
      </w:r>
      <w:r w:rsidRPr="00A32BB9">
        <w:rPr>
          <w:rFonts w:ascii="Sylfaen" w:hAnsi="Sylfaen" w:cs="Sylfaen"/>
          <w:sz w:val="24"/>
          <w:szCs w:val="24"/>
        </w:rPr>
        <w:t>ლაბორატორია (შემდგომში - ლაბორატორია)</w:t>
      </w:r>
    </w:p>
    <w:p w:rsidR="00E93AB5" w:rsidRPr="00A32BB9" w:rsidRDefault="00E93AB5" w:rsidP="00E93AB5">
      <w:pPr>
        <w:jc w:val="both"/>
        <w:rPr>
          <w:rFonts w:ascii="Sylfaen" w:hAnsi="Sylfaen" w:cs="Sylfaen"/>
          <w:b/>
          <w:sz w:val="24"/>
          <w:szCs w:val="24"/>
        </w:rPr>
      </w:pPr>
      <w:r w:rsidRPr="00A32BB9">
        <w:rPr>
          <w:rFonts w:ascii="Sylfaen" w:hAnsi="Sylfaen" w:cs="Sylfaen"/>
          <w:sz w:val="24"/>
          <w:szCs w:val="24"/>
        </w:rPr>
        <w:t>საქართველოს სოფლის მეურნეობის  სამინისტროს</w:t>
      </w:r>
      <w:r w:rsidR="00076770" w:rsidRPr="00A32BB9">
        <w:rPr>
          <w:rFonts w:ascii="Sylfaen" w:hAnsi="Sylfaen" w:cs="Sylfaen"/>
          <w:sz w:val="24"/>
          <w:szCs w:val="24"/>
        </w:rPr>
        <w:t xml:space="preserve"> წარმოდგენილი</w:t>
      </w:r>
      <w:r w:rsidRPr="00A32BB9">
        <w:rPr>
          <w:rFonts w:ascii="Sylfaen" w:hAnsi="Sylfaen" w:cs="Sylfaen"/>
          <w:sz w:val="24"/>
          <w:szCs w:val="24"/>
        </w:rPr>
        <w:t xml:space="preserve"> </w:t>
      </w:r>
      <w:r w:rsidR="00076770" w:rsidRPr="00A32BB9">
        <w:rPr>
          <w:rFonts w:ascii="Sylfaen" w:hAnsi="Sylfaen" w:cs="Sylfaen"/>
          <w:sz w:val="24"/>
          <w:szCs w:val="24"/>
        </w:rPr>
        <w:t>კანონპროექტი</w:t>
      </w:r>
      <w:r w:rsidRPr="00A32BB9">
        <w:rPr>
          <w:rFonts w:ascii="Sylfaen" w:hAnsi="Sylfaen" w:cs="Sylfaen"/>
          <w:sz w:val="24"/>
          <w:szCs w:val="24"/>
        </w:rPr>
        <w:t xml:space="preserve"> შეიცავს რამდენიმე რისკს: </w:t>
      </w:r>
      <w:r w:rsidRPr="00A32BB9">
        <w:rPr>
          <w:rFonts w:ascii="Sylfaen" w:hAnsi="Sylfaen" w:cs="Sylfaen"/>
          <w:b/>
          <w:sz w:val="24"/>
          <w:szCs w:val="24"/>
        </w:rPr>
        <w:t xml:space="preserve"> </w:t>
      </w:r>
    </w:p>
    <w:p w:rsidR="00076770" w:rsidRPr="00A32BB9" w:rsidRDefault="00E93AB5" w:rsidP="00E93AB5">
      <w:pPr>
        <w:pStyle w:val="ListParagraph"/>
        <w:numPr>
          <w:ilvl w:val="0"/>
          <w:numId w:val="1"/>
        </w:numPr>
        <w:rPr>
          <w:rFonts w:ascii="Sylfaen" w:eastAsia="Times New Roman" w:hAnsi="Sylfaen"/>
          <w:sz w:val="24"/>
          <w:szCs w:val="24"/>
        </w:rPr>
      </w:pPr>
      <w:r w:rsidRPr="00A32BB9">
        <w:rPr>
          <w:rFonts w:ascii="Sylfaen" w:eastAsia="Times New Roman" w:hAnsi="Sylfaen" w:cs="Sylfaen"/>
          <w:sz w:val="24"/>
          <w:szCs w:val="24"/>
        </w:rPr>
        <w:t xml:space="preserve"> </w:t>
      </w:r>
      <w:r w:rsidR="00CC2E30" w:rsidRPr="00A32BB9">
        <w:rPr>
          <w:rFonts w:ascii="Sylfaen" w:eastAsia="Times New Roman" w:hAnsi="Sylfaen" w:cs="Sylfaen"/>
          <w:sz w:val="24"/>
          <w:szCs w:val="24"/>
        </w:rPr>
        <w:t>კანონით</w:t>
      </w:r>
      <w:r w:rsidRPr="00A32BB9">
        <w:rPr>
          <w:rFonts w:ascii="Sylfaen" w:eastAsia="Times New Roman" w:hAnsi="Sylfaen"/>
          <w:sz w:val="24"/>
          <w:szCs w:val="24"/>
        </w:rPr>
        <w:t xml:space="preserve"> არც</w:t>
      </w:r>
      <w:r w:rsidR="00076770" w:rsidRPr="00A32BB9">
        <w:rPr>
          <w:rFonts w:ascii="Sylfaen" w:eastAsia="Times New Roman" w:hAnsi="Sylfaen"/>
          <w:sz w:val="24"/>
          <w:szCs w:val="24"/>
        </w:rPr>
        <w:t xml:space="preserve"> ცენტრს</w:t>
      </w:r>
      <w:r w:rsidRPr="00A32BB9">
        <w:rPr>
          <w:rFonts w:ascii="Sylfaen" w:eastAsia="Times New Roman" w:hAnsi="Sylfaen"/>
          <w:sz w:val="24"/>
          <w:szCs w:val="24"/>
        </w:rPr>
        <w:t xml:space="preserve">  </w:t>
      </w:r>
      <w:r w:rsidR="00CC2E30" w:rsidRPr="00A32BB9">
        <w:rPr>
          <w:rFonts w:ascii="Sylfaen" w:eastAsia="Times New Roman" w:hAnsi="Sylfaen"/>
          <w:sz w:val="24"/>
          <w:szCs w:val="24"/>
        </w:rPr>
        <w:t xml:space="preserve"> და არც </w:t>
      </w:r>
      <w:r w:rsidR="00076770" w:rsidRPr="00A32BB9">
        <w:rPr>
          <w:rFonts w:ascii="Sylfaen" w:eastAsia="Times New Roman" w:hAnsi="Sylfaen"/>
          <w:sz w:val="24"/>
          <w:szCs w:val="24"/>
        </w:rPr>
        <w:t>ლაბორატორიას აღარ ა</w:t>
      </w:r>
      <w:r w:rsidR="00CC2E30" w:rsidRPr="00A32BB9">
        <w:rPr>
          <w:rFonts w:ascii="Sylfaen" w:eastAsia="Times New Roman" w:hAnsi="Sylfaen"/>
          <w:sz w:val="24"/>
          <w:szCs w:val="24"/>
        </w:rPr>
        <w:t>ეკრძალება ბსლ 2-ში განსაკუთრებით საშიშ პათოგენების (გსპ) ცოცხალ კულტურებზე მუშაობა. მათ შორის ფილიალებში.</w:t>
      </w:r>
    </w:p>
    <w:p w:rsidR="00CC2E30" w:rsidRPr="00A32BB9" w:rsidRDefault="00CC2E30" w:rsidP="00076770">
      <w:pPr>
        <w:pStyle w:val="ListParagraph"/>
        <w:rPr>
          <w:rFonts w:ascii="Sylfaen" w:eastAsia="Times New Roman" w:hAnsi="Sylfaen"/>
          <w:sz w:val="24"/>
          <w:szCs w:val="24"/>
        </w:rPr>
      </w:pPr>
      <w:r w:rsidRPr="00A32BB9">
        <w:rPr>
          <w:rFonts w:ascii="Sylfaen" w:eastAsia="Times New Roman" w:hAnsi="Sylfaen"/>
          <w:sz w:val="24"/>
          <w:szCs w:val="24"/>
        </w:rPr>
        <w:t xml:space="preserve"> თავის დროზე, ბსლ 3-ის ლუგარის ცენტრში ამოქმედებამდე, </w:t>
      </w:r>
      <w:r w:rsidR="00076770" w:rsidRPr="00A32BB9">
        <w:rPr>
          <w:rFonts w:ascii="Sylfaen" w:eastAsia="Times New Roman" w:hAnsi="Sylfaen"/>
          <w:sz w:val="24"/>
          <w:szCs w:val="24"/>
        </w:rPr>
        <w:t>ცენტრისთვის</w:t>
      </w:r>
      <w:r w:rsidRPr="00A32BB9">
        <w:rPr>
          <w:rFonts w:ascii="Sylfaen" w:eastAsia="Times New Roman" w:hAnsi="Sylfaen"/>
          <w:sz w:val="24"/>
          <w:szCs w:val="24"/>
        </w:rPr>
        <w:t xml:space="preserve"> ეს გამონაკლისი დაიშვა </w:t>
      </w:r>
      <w:r w:rsidR="00076770" w:rsidRPr="00A32BB9">
        <w:rPr>
          <w:rFonts w:ascii="Sylfaen" w:eastAsia="Times New Roman" w:hAnsi="Sylfaen"/>
          <w:sz w:val="24"/>
          <w:szCs w:val="24"/>
        </w:rPr>
        <w:t xml:space="preserve">მხოლოდ </w:t>
      </w:r>
      <w:r w:rsidRPr="00A32BB9">
        <w:rPr>
          <w:rFonts w:ascii="Sylfaen" w:eastAsia="Times New Roman" w:hAnsi="Sylfaen"/>
          <w:sz w:val="24"/>
          <w:szCs w:val="24"/>
        </w:rPr>
        <w:t>იმის</w:t>
      </w:r>
      <w:r w:rsidR="00076770" w:rsidRPr="00A32BB9">
        <w:rPr>
          <w:rFonts w:ascii="Sylfaen" w:eastAsia="Times New Roman" w:hAnsi="Sylfaen"/>
          <w:sz w:val="24"/>
          <w:szCs w:val="24"/>
        </w:rPr>
        <w:t xml:space="preserve">ათვის, რომ არ შეწყვეტილიყო ის მრავალწლიანი </w:t>
      </w:r>
      <w:r w:rsidRPr="00A32BB9">
        <w:rPr>
          <w:rFonts w:ascii="Sylfaen" w:eastAsia="Times New Roman" w:hAnsi="Sylfaen"/>
          <w:sz w:val="24"/>
          <w:szCs w:val="24"/>
        </w:rPr>
        <w:t xml:space="preserve"> საქმიანობა, რასაც 1937 წლიდან</w:t>
      </w:r>
      <w:r w:rsidR="00076770" w:rsidRPr="00A32BB9">
        <w:rPr>
          <w:rFonts w:ascii="Sylfaen" w:eastAsia="Times New Roman" w:hAnsi="Sylfaen"/>
          <w:sz w:val="24"/>
          <w:szCs w:val="24"/>
        </w:rPr>
        <w:t xml:space="preserve">, ჯერ კიდევ ‘’შავი ჭირის ‘’ სამსხურის ბაზაზე ეწეოდა ცენტრი: </w:t>
      </w:r>
      <w:r w:rsidRPr="00A32BB9">
        <w:rPr>
          <w:rFonts w:ascii="Sylfaen" w:eastAsia="Times New Roman" w:hAnsi="Sylfaen"/>
          <w:sz w:val="24"/>
          <w:szCs w:val="24"/>
        </w:rPr>
        <w:t xml:space="preserve"> კულტურების კოლექციის შევსება, შესწავლა და ა.შ. იმ დროს ვეტლაბორატორია, ცოცხალ კულტურებს არ ინახავდა, დიაგნოსტიკის დასრულების შემდეგ, ანადგურებდა.</w:t>
      </w:r>
    </w:p>
    <w:p w:rsidR="00076770" w:rsidRPr="00A32BB9" w:rsidRDefault="00076770" w:rsidP="00076770">
      <w:pPr>
        <w:pStyle w:val="ListParagraph"/>
        <w:rPr>
          <w:rFonts w:ascii="Sylfaen" w:eastAsia="Times New Roman" w:hAnsi="Sylfaen"/>
          <w:sz w:val="24"/>
          <w:szCs w:val="24"/>
        </w:rPr>
      </w:pPr>
    </w:p>
    <w:p w:rsidR="00CC2E30" w:rsidRPr="00A32BB9" w:rsidRDefault="00076770" w:rsidP="00076770">
      <w:pPr>
        <w:pStyle w:val="ListParagraph"/>
        <w:rPr>
          <w:rFonts w:ascii="Sylfaen" w:eastAsia="Times New Roman" w:hAnsi="Sylfaen"/>
          <w:sz w:val="24"/>
          <w:szCs w:val="24"/>
        </w:rPr>
      </w:pPr>
      <w:r w:rsidRPr="00A32BB9">
        <w:rPr>
          <w:rFonts w:ascii="Sylfaen" w:eastAsia="Times New Roman" w:hAnsi="Sylfaen"/>
          <w:sz w:val="24"/>
          <w:szCs w:val="24"/>
        </w:rPr>
        <w:t xml:space="preserve">დრეისათვის, არაერთი დისკუსიის შედეგად  აღმოიჩნდა, რომ არსებული ჩანაწერის  </w:t>
      </w:r>
      <w:r w:rsidR="00CC2E30" w:rsidRPr="00A32BB9">
        <w:rPr>
          <w:rFonts w:ascii="Sylfaen" w:eastAsia="Times New Roman" w:hAnsi="Sylfaen"/>
          <w:sz w:val="24"/>
          <w:szCs w:val="24"/>
        </w:rPr>
        <w:t>სხვადასხვა ინტერპრეტაციით წ</w:t>
      </w:r>
      <w:r w:rsidRPr="00A32BB9">
        <w:rPr>
          <w:rFonts w:ascii="Sylfaen" w:eastAsia="Times New Roman" w:hAnsi="Sylfaen"/>
          <w:sz w:val="24"/>
          <w:szCs w:val="24"/>
        </w:rPr>
        <w:t xml:space="preserve">აკითხვის შესაძლებლობა არსებობს და </w:t>
      </w:r>
      <w:r w:rsidR="00CC2E30" w:rsidRPr="00A32BB9">
        <w:rPr>
          <w:rFonts w:ascii="Sylfaen" w:eastAsia="Times New Roman" w:hAnsi="Sylfaen"/>
          <w:sz w:val="24"/>
          <w:szCs w:val="24"/>
        </w:rPr>
        <w:t xml:space="preserve">შესაძლოა იმ ლაბორატორიებს, რომლებიც გსპ-ის დიაგნოზს სვამენ სეროლოგიური (მაგალითად ბრუცელოზის) ან მოლეკულურ ბიოლოგიური მეთოდებით, და არა ბაქტერიოლოგიური მეთოდით (მიკროორგანიზმის ცოცხალი კულტურის გაზრდა), აეკრძალოთ ეს საქმიანობა, რაც ჩვენი აზრით </w:t>
      </w:r>
      <w:r w:rsidR="00CC2E30" w:rsidRPr="00A32BB9">
        <w:rPr>
          <w:rFonts w:ascii="Sylfaen" w:eastAsia="Times New Roman" w:hAnsi="Sylfaen"/>
          <w:sz w:val="24"/>
          <w:szCs w:val="24"/>
        </w:rPr>
        <w:lastRenderedPageBreak/>
        <w:t>გამოიწვევს ავადმყოფთა გამოვლენის შეფერხებას და ეპიდსიტუაციის გაუარესებას.</w:t>
      </w:r>
    </w:p>
    <w:p w:rsidR="00076770" w:rsidRPr="00A32BB9" w:rsidRDefault="00076770" w:rsidP="00076770">
      <w:pPr>
        <w:pStyle w:val="ListParagraph"/>
        <w:rPr>
          <w:rFonts w:ascii="Sylfaen" w:eastAsia="Times New Roman" w:hAnsi="Sylfaen"/>
          <w:sz w:val="24"/>
          <w:szCs w:val="24"/>
        </w:rPr>
      </w:pPr>
    </w:p>
    <w:p w:rsidR="00076770" w:rsidRPr="00A32BB9" w:rsidRDefault="00076770" w:rsidP="00076770">
      <w:pPr>
        <w:pStyle w:val="ListParagraph"/>
        <w:rPr>
          <w:rFonts w:ascii="Sylfaen" w:eastAsia="Times New Roman" w:hAnsi="Sylfaen"/>
          <w:sz w:val="24"/>
          <w:szCs w:val="24"/>
        </w:rPr>
      </w:pPr>
      <w:r w:rsidRPr="00A32BB9">
        <w:rPr>
          <w:rFonts w:ascii="Sylfaen" w:eastAsia="Times New Roman" w:hAnsi="Sylfaen"/>
          <w:sz w:val="24"/>
          <w:szCs w:val="24"/>
        </w:rPr>
        <w:t>აქედან გამომდინარე, ცენტრმა შეიმუშავა კანონპროეტი, რომელიც მიზნად ისახავს, რომ</w:t>
      </w:r>
    </w:p>
    <w:p w:rsidR="00CC2E30" w:rsidRPr="00A32BB9" w:rsidRDefault="00CC2E30" w:rsidP="00CC2E30">
      <w:pPr>
        <w:pStyle w:val="ListParagraph"/>
        <w:rPr>
          <w:rFonts w:ascii="Sylfaen" w:hAnsi="Sylfaen"/>
          <w:sz w:val="24"/>
          <w:szCs w:val="24"/>
        </w:rPr>
      </w:pPr>
      <w:r w:rsidRPr="00A32BB9">
        <w:rPr>
          <w:rFonts w:ascii="Sylfaen" w:hAnsi="Sylfaen"/>
          <w:sz w:val="24"/>
          <w:szCs w:val="24"/>
        </w:rPr>
        <w:t>დაზუსტდეს ლიცენზიის დასახელება, და ცოცხალ კულტურებზე სა</w:t>
      </w:r>
      <w:r w:rsidR="00076770" w:rsidRPr="00A32BB9">
        <w:rPr>
          <w:rFonts w:ascii="Sylfaen" w:hAnsi="Sylfaen"/>
          <w:sz w:val="24"/>
          <w:szCs w:val="24"/>
        </w:rPr>
        <w:t>ქ</w:t>
      </w:r>
      <w:r w:rsidRPr="00A32BB9">
        <w:rPr>
          <w:rFonts w:ascii="Sylfaen" w:hAnsi="Sylfaen"/>
          <w:sz w:val="24"/>
          <w:szCs w:val="24"/>
        </w:rPr>
        <w:t xml:space="preserve">მიანობის უფლება მიეცეს ორივე დაწესებულებას, მხოლოდ ლუგარის ცენტრის ტერიტორიაზე, რათა ყველა საერთაშორისო ვალდებულება დაცული იყოს და , ამავე დროს, ქვეყანაში არ შეფერხდეს სადიაგნოსტიკო საქმიანობა. </w:t>
      </w:r>
    </w:p>
    <w:p w:rsidR="00076770" w:rsidRPr="00A32BB9" w:rsidRDefault="00076770" w:rsidP="00CC2E30">
      <w:pPr>
        <w:pStyle w:val="ListParagraph"/>
        <w:rPr>
          <w:rFonts w:ascii="Sylfaen" w:hAnsi="Sylfaen"/>
          <w:sz w:val="24"/>
          <w:szCs w:val="24"/>
        </w:rPr>
      </w:pPr>
    </w:p>
    <w:p w:rsidR="00BA7A97" w:rsidRPr="00A32BB9" w:rsidRDefault="00076770" w:rsidP="006016DB">
      <w:pPr>
        <w:pStyle w:val="ListParagraph"/>
        <w:rPr>
          <w:sz w:val="24"/>
          <w:szCs w:val="24"/>
        </w:rPr>
      </w:pPr>
      <w:r w:rsidRPr="00A32BB9">
        <w:rPr>
          <w:rFonts w:ascii="Sylfaen" w:hAnsi="Sylfaen"/>
          <w:sz w:val="24"/>
          <w:szCs w:val="24"/>
        </w:rPr>
        <w:t xml:space="preserve">სოფლის მეურნეობის ლაბორატორიის თანამშრომლები ცენტრთან გაფორმებული მემორანდუმის და ასევე , ლუგარის ცენტრში გადამზადების შემდგომ, დღეს  უკვე შეუფერხებლად მუშაობენ მე - 3 დონის ლაბორატორიაში  ლუგარის ცენტრის ბაზაზე. </w:t>
      </w:r>
    </w:p>
    <w:p w:rsidR="00111039" w:rsidRPr="00A32BB9" w:rsidRDefault="00111039" w:rsidP="00BA7A97">
      <w:pPr>
        <w:jc w:val="both"/>
        <w:rPr>
          <w:sz w:val="24"/>
          <w:szCs w:val="24"/>
        </w:rPr>
      </w:pPr>
    </w:p>
    <w:p w:rsidR="00111039" w:rsidRPr="00A32BB9" w:rsidRDefault="00111039" w:rsidP="00BA7A97">
      <w:pPr>
        <w:jc w:val="both"/>
        <w:rPr>
          <w:sz w:val="24"/>
          <w:szCs w:val="24"/>
        </w:rPr>
      </w:pPr>
    </w:p>
    <w:p w:rsidR="00111039" w:rsidRPr="00A32BB9" w:rsidRDefault="00111039" w:rsidP="00BA7A97">
      <w:pPr>
        <w:jc w:val="both"/>
        <w:rPr>
          <w:sz w:val="24"/>
          <w:szCs w:val="24"/>
        </w:rPr>
      </w:pPr>
    </w:p>
    <w:p w:rsidR="00A32BB9" w:rsidRDefault="00A32BB9" w:rsidP="00111039">
      <w:pPr>
        <w:jc w:val="center"/>
        <w:rPr>
          <w:sz w:val="24"/>
          <w:szCs w:val="24"/>
        </w:rPr>
      </w:pPr>
    </w:p>
    <w:p w:rsidR="00A32BB9" w:rsidRDefault="00A32BB9" w:rsidP="00111039">
      <w:pPr>
        <w:jc w:val="center"/>
        <w:rPr>
          <w:sz w:val="24"/>
          <w:szCs w:val="24"/>
        </w:rPr>
      </w:pPr>
    </w:p>
    <w:p w:rsidR="00111039" w:rsidRPr="00A32BB9" w:rsidRDefault="00111039" w:rsidP="00A32BB9">
      <w:pPr>
        <w:jc w:val="center"/>
        <w:rPr>
          <w:sz w:val="24"/>
          <w:szCs w:val="24"/>
        </w:rPr>
      </w:pPr>
      <w:r w:rsidRPr="00A32BB9">
        <w:rPr>
          <w:sz w:val="24"/>
          <w:szCs w:val="24"/>
        </w:rPr>
        <w:t>საქართველოს  კანონი</w:t>
      </w:r>
      <w:bookmarkStart w:id="0" w:name="_GoBack"/>
      <w:bookmarkEnd w:id="0"/>
    </w:p>
    <w:p w:rsidR="00111039" w:rsidRPr="00A32BB9" w:rsidRDefault="00111039" w:rsidP="00111039">
      <w:pPr>
        <w:jc w:val="center"/>
        <w:rPr>
          <w:sz w:val="24"/>
          <w:szCs w:val="24"/>
        </w:rPr>
      </w:pPr>
      <w:r w:rsidRPr="00A32BB9">
        <w:rPr>
          <w:sz w:val="24"/>
          <w:szCs w:val="24"/>
        </w:rPr>
        <w:t>‘’ლიცენზიებისა და ნებართვების შესახებ’’ სქართველოს კანონში</w:t>
      </w:r>
    </w:p>
    <w:p w:rsidR="00111039" w:rsidRPr="00A32BB9" w:rsidRDefault="00111039" w:rsidP="00111039">
      <w:pPr>
        <w:jc w:val="center"/>
        <w:rPr>
          <w:sz w:val="24"/>
          <w:szCs w:val="24"/>
        </w:rPr>
      </w:pPr>
      <w:r w:rsidRPr="00A32BB9">
        <w:rPr>
          <w:sz w:val="24"/>
          <w:szCs w:val="24"/>
        </w:rPr>
        <w:t>ცვლილების შეტანის თაობაზე</w:t>
      </w:r>
    </w:p>
    <w:p w:rsidR="00111039" w:rsidRPr="00A32BB9" w:rsidRDefault="00111039" w:rsidP="00111039">
      <w:pPr>
        <w:jc w:val="center"/>
        <w:rPr>
          <w:sz w:val="24"/>
          <w:szCs w:val="24"/>
        </w:rPr>
      </w:pPr>
    </w:p>
    <w:p w:rsidR="00111039" w:rsidRPr="00A32BB9" w:rsidRDefault="00111039" w:rsidP="00111039">
      <w:pPr>
        <w:jc w:val="both"/>
        <w:rPr>
          <w:sz w:val="24"/>
          <w:szCs w:val="24"/>
        </w:rPr>
      </w:pPr>
    </w:p>
    <w:p w:rsidR="00111039" w:rsidRPr="00A32BB9" w:rsidRDefault="00111039" w:rsidP="00111039">
      <w:pPr>
        <w:jc w:val="both"/>
        <w:rPr>
          <w:sz w:val="24"/>
          <w:szCs w:val="24"/>
        </w:rPr>
      </w:pPr>
      <w:r w:rsidRPr="00A32BB9">
        <w:rPr>
          <w:sz w:val="24"/>
          <w:szCs w:val="24"/>
        </w:rPr>
        <w:t>მუხლი 1.  ‘’ლიცენზიებისა და ნებართვების შესახებ’’ საქართველოს კანონში (საქართველოს საკანონმდებლო მაცნე,  40.  18.07. 2005.  მუხ. 264) შეტანილ იქნეს შემდეგი  ცვლილება:</w:t>
      </w:r>
    </w:p>
    <w:p w:rsidR="00111039" w:rsidRPr="00A32BB9" w:rsidRDefault="00111039" w:rsidP="00111039">
      <w:pPr>
        <w:pStyle w:val="ListParagraph"/>
        <w:numPr>
          <w:ilvl w:val="0"/>
          <w:numId w:val="2"/>
        </w:numPr>
        <w:spacing w:after="160" w:line="256" w:lineRule="auto"/>
        <w:contextualSpacing/>
        <w:jc w:val="both"/>
        <w:rPr>
          <w:sz w:val="24"/>
          <w:szCs w:val="24"/>
        </w:rPr>
      </w:pPr>
      <w:r w:rsidRPr="00A32BB9">
        <w:rPr>
          <w:rFonts w:ascii="Sylfaen" w:hAnsi="Sylfaen" w:cs="Sylfaen"/>
          <w:sz w:val="24"/>
          <w:szCs w:val="24"/>
        </w:rPr>
        <w:t>პირველი</w:t>
      </w:r>
      <w:r w:rsidRPr="00A32BB9">
        <w:rPr>
          <w:sz w:val="24"/>
          <w:szCs w:val="24"/>
        </w:rPr>
        <w:t xml:space="preserve"> </w:t>
      </w:r>
      <w:r w:rsidRPr="00A32BB9">
        <w:rPr>
          <w:rFonts w:ascii="Sylfaen" w:hAnsi="Sylfaen" w:cs="Sylfaen"/>
          <w:sz w:val="24"/>
          <w:szCs w:val="24"/>
        </w:rPr>
        <w:t>მუხლის</w:t>
      </w:r>
      <w:r w:rsidRPr="00A32BB9">
        <w:rPr>
          <w:sz w:val="24"/>
          <w:szCs w:val="24"/>
        </w:rPr>
        <w:t xml:space="preserve">  </w:t>
      </w:r>
      <w:r w:rsidRPr="00A32BB9">
        <w:rPr>
          <w:rFonts w:ascii="Sylfaen" w:hAnsi="Sylfaen" w:cs="Sylfaen"/>
          <w:sz w:val="24"/>
          <w:szCs w:val="24"/>
        </w:rPr>
        <w:t>მე</w:t>
      </w:r>
      <w:r w:rsidRPr="00A32BB9">
        <w:rPr>
          <w:sz w:val="24"/>
          <w:szCs w:val="24"/>
        </w:rPr>
        <w:t xml:space="preserve">-2 </w:t>
      </w:r>
      <w:r w:rsidRPr="00A32BB9">
        <w:rPr>
          <w:rFonts w:ascii="Sylfaen" w:hAnsi="Sylfaen" w:cs="Sylfaen"/>
          <w:sz w:val="24"/>
          <w:szCs w:val="24"/>
        </w:rPr>
        <w:t>პუნქტი</w:t>
      </w:r>
      <w:r w:rsidRPr="00A32BB9">
        <w:rPr>
          <w:sz w:val="24"/>
          <w:szCs w:val="24"/>
        </w:rPr>
        <w:t xml:space="preserve"> </w:t>
      </w:r>
      <w:r w:rsidRPr="00A32BB9">
        <w:rPr>
          <w:rFonts w:ascii="Sylfaen" w:hAnsi="Sylfaen" w:cs="Sylfaen"/>
          <w:sz w:val="24"/>
          <w:szCs w:val="24"/>
        </w:rPr>
        <w:t>ჩამოყალიბდეს</w:t>
      </w:r>
      <w:r w:rsidRPr="00A32BB9">
        <w:rPr>
          <w:sz w:val="24"/>
          <w:szCs w:val="24"/>
        </w:rPr>
        <w:t xml:space="preserve"> </w:t>
      </w:r>
      <w:r w:rsidRPr="00A32BB9">
        <w:rPr>
          <w:rFonts w:ascii="Sylfaen" w:hAnsi="Sylfaen" w:cs="Sylfaen"/>
          <w:sz w:val="24"/>
          <w:szCs w:val="24"/>
        </w:rPr>
        <w:t>შემდეგი</w:t>
      </w:r>
      <w:r w:rsidRPr="00A32BB9">
        <w:rPr>
          <w:sz w:val="24"/>
          <w:szCs w:val="24"/>
        </w:rPr>
        <w:t xml:space="preserve"> </w:t>
      </w:r>
      <w:r w:rsidRPr="00A32BB9">
        <w:rPr>
          <w:rFonts w:ascii="Sylfaen" w:hAnsi="Sylfaen" w:cs="Sylfaen"/>
          <w:sz w:val="24"/>
          <w:szCs w:val="24"/>
        </w:rPr>
        <w:t>რედაქციით</w:t>
      </w:r>
      <w:r w:rsidRPr="00A32BB9">
        <w:rPr>
          <w:sz w:val="24"/>
          <w:szCs w:val="24"/>
        </w:rPr>
        <w:t>:</w:t>
      </w:r>
    </w:p>
    <w:p w:rsidR="00111039" w:rsidRPr="00A32BB9" w:rsidRDefault="00111039" w:rsidP="00111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sz w:val="24"/>
          <w:szCs w:val="24"/>
        </w:rPr>
      </w:pPr>
      <w:r w:rsidRPr="00A32BB9">
        <w:rPr>
          <w:sz w:val="24"/>
          <w:szCs w:val="24"/>
        </w:rPr>
        <w:t>‘’2.</w:t>
      </w:r>
      <w:r w:rsidRPr="00A32BB9">
        <w:rPr>
          <w:rFonts w:ascii="Sylfaen" w:hAnsi="Sylfaen" w:cs="Sylfaen"/>
          <w:sz w:val="24"/>
          <w:szCs w:val="24"/>
        </w:rPr>
        <w:t xml:space="preserve"> ამ კანონის  (გარდა ამ კანონის მე-6 მუხლის 72-ე–72</w:t>
      </w:r>
      <w:r w:rsidRPr="00A32BB9">
        <w:rPr>
          <w:rFonts w:ascii="Sylfaen" w:hAnsi="Sylfaen" w:cs="Sylfaen"/>
          <w:position w:val="6"/>
          <w:sz w:val="24"/>
          <w:szCs w:val="24"/>
        </w:rPr>
        <w:t>5</w:t>
      </w:r>
      <w:r w:rsidRPr="00A32BB9">
        <w:rPr>
          <w:rFonts w:ascii="Sylfaen" w:hAnsi="Sylfaen" w:cs="Sylfaen"/>
          <w:sz w:val="24"/>
          <w:szCs w:val="24"/>
        </w:rPr>
        <w:t xml:space="preserve">  პუნქტებისა და 24-ე მუხლის 54-ე პუნქტისა) მოქმედება არ ვრცელდება ამავე კანონით გათვალისწინებულ საქმიანობაზე ან ქმედებაზე, თუ მას ახორციელებს „საქართველოს მთავრობის სტრუქტურის, უფლებამოსილებისა და საქმიანობის წესის შესახებ“ საქართველოს კანონით განსაზღვრული სამინისტრო ან მის გამგებლობაში არსებული სახელმწიფო საქვეუწყებო დაწესებულება, ხოლო „ნავთობისა და გაზის შესახებ“ საქართველოს კანონით რეგულირებულ სფეროზე არ ვრცელდება ამ კანონის მე-3 მუხლის „ა.ა“ ქვეპუნქტისა და </w:t>
      </w:r>
      <w:r w:rsidRPr="00A32BB9">
        <w:rPr>
          <w:rFonts w:ascii="Sylfaen" w:hAnsi="Sylfaen" w:cs="Sylfaen"/>
          <w:sz w:val="24"/>
          <w:szCs w:val="24"/>
        </w:rPr>
        <w:lastRenderedPageBreak/>
        <w:t>IV და V თავების მოქმედება. ამ კანონის მოქმედება არ ვრცელდება აგრეთვე სახელმწიფო-საექსპერტო დაწესებულებაზე, თუ ის ახორციელებს ამ კანონის მე-6 მუხლის 72-ე–72</w:t>
      </w:r>
      <w:r w:rsidRPr="00A32BB9">
        <w:rPr>
          <w:rFonts w:ascii="Sylfaen" w:hAnsi="Sylfaen" w:cs="Sylfaen"/>
          <w:position w:val="6"/>
          <w:sz w:val="24"/>
          <w:szCs w:val="24"/>
        </w:rPr>
        <w:t>5</w:t>
      </w:r>
      <w:r w:rsidRPr="00A32BB9">
        <w:rPr>
          <w:rFonts w:ascii="Sylfaen" w:hAnsi="Sylfaen" w:cs="Sylfaen"/>
          <w:sz w:val="24"/>
          <w:szCs w:val="24"/>
        </w:rPr>
        <w:t xml:space="preserve"> პუნქტებითა და 24-ე მუხლის 54-ე პუნქტით გათვალისწინებულ საქმიანობას, საჯარო სამართლის იურიდიულ პირზე – ლ. საყვარელიძის სახელობის დაავადებათა კონტროლისა და საზოგადოებრივი ჯანმრთელობის ეროვნულ ცენტრზე და </w:t>
      </w:r>
      <w:r w:rsidRPr="00A32BB9">
        <w:rPr>
          <w:rFonts w:ascii="Sylfaen" w:hAnsi="Sylfaen" w:cs="Sylfaen"/>
          <w:b/>
          <w:sz w:val="24"/>
          <w:szCs w:val="24"/>
        </w:rPr>
        <w:t xml:space="preserve">საჯარო სამართლის იურიდიულ პირზე - საქართველოს სოფლის მეურნეობის სამინისტროს ლაბორატორიაზე, </w:t>
      </w:r>
      <w:r w:rsidRPr="00A32BB9">
        <w:rPr>
          <w:rFonts w:ascii="Sylfaen" w:hAnsi="Sylfaen" w:cs="Sylfaen"/>
          <w:sz w:val="24"/>
          <w:szCs w:val="24"/>
        </w:rPr>
        <w:t xml:space="preserve"> თუ ისინი ახორციელებენ ამ კანონის მე-6 მუხლის 72</w:t>
      </w:r>
      <w:r w:rsidRPr="00A32BB9">
        <w:rPr>
          <w:rFonts w:ascii="Sylfaen" w:hAnsi="Sylfaen" w:cs="Sylfaen"/>
          <w:position w:val="6"/>
          <w:sz w:val="24"/>
          <w:szCs w:val="24"/>
        </w:rPr>
        <w:t>4</w:t>
      </w:r>
      <w:r w:rsidRPr="00A32BB9">
        <w:rPr>
          <w:rFonts w:ascii="Sylfaen" w:hAnsi="Sylfaen" w:cs="Sylfaen"/>
          <w:sz w:val="24"/>
          <w:szCs w:val="24"/>
        </w:rPr>
        <w:t xml:space="preserve"> პუნქტით გათვალისწინებულ საქმიანობას </w:t>
      </w:r>
      <w:r w:rsidRPr="00A32BB9">
        <w:rPr>
          <w:rFonts w:ascii="Sylfaen" w:hAnsi="Sylfaen" w:cs="Sylfaen"/>
          <w:b/>
          <w:sz w:val="24"/>
          <w:szCs w:val="24"/>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ლუგარის საზოგადოებრივი ჯანდაცვის ცენტრში,</w:t>
      </w:r>
      <w:r w:rsidRPr="00A32BB9">
        <w:rPr>
          <w:rFonts w:ascii="Sylfaen" w:hAnsi="Sylfaen" w:cs="Sylfaen"/>
          <w:sz w:val="24"/>
          <w:szCs w:val="24"/>
        </w:rPr>
        <w:t xml:space="preserve">  საქართველოს გარემოსა და ბუნებრივი რესურსების დაცვის სამინისტროს სისტემაში შემავალ საჯარო სამართლის იურიდიულ პირზე – ბირთვული და რადიაციული უსაფრთხოების სააგენტოზე და საქართველოს შინაგან საქმეთა სამინისტროს მმართველობის სფეროში მოქმედ საჯარო სამართლის იურიდიულ პირზე – საგანგებო სიტუაციების მართვის სააგენტოზე, თუ ისინი ახორციელებენ ამ კანონის მე-6 მუხლის მე-3 პუნქტითა და 24-ე მუხლის მე-9–10</w:t>
      </w:r>
      <w:r w:rsidRPr="00A32BB9">
        <w:rPr>
          <w:rFonts w:ascii="Sylfaen" w:hAnsi="Sylfaen" w:cs="Sylfaen"/>
          <w:position w:val="6"/>
          <w:sz w:val="24"/>
          <w:szCs w:val="24"/>
        </w:rPr>
        <w:t>1</w:t>
      </w:r>
      <w:r w:rsidRPr="00A32BB9">
        <w:rPr>
          <w:rFonts w:ascii="Sylfaen" w:hAnsi="Sylfaen" w:cs="Sylfaen"/>
          <w:sz w:val="24"/>
          <w:szCs w:val="24"/>
        </w:rPr>
        <w:t xml:space="preserve"> პუნქტებით გათვალისწინებულ საქმიანობას. </w:t>
      </w:r>
    </w:p>
    <w:p w:rsidR="00111039" w:rsidRPr="00A32BB9" w:rsidRDefault="00111039" w:rsidP="00111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i/>
          <w:iCs/>
          <w:sz w:val="24"/>
          <w:szCs w:val="24"/>
        </w:rPr>
      </w:pPr>
    </w:p>
    <w:p w:rsidR="00111039" w:rsidRPr="00A32BB9" w:rsidRDefault="00111039" w:rsidP="00111039">
      <w:pPr>
        <w:pStyle w:val="ListParagraph"/>
        <w:jc w:val="both"/>
        <w:rPr>
          <w:rFonts w:asciiTheme="minorHAnsi" w:hAnsiTheme="minorHAnsi" w:cstheme="minorBidi"/>
          <w:sz w:val="24"/>
          <w:szCs w:val="24"/>
        </w:rPr>
      </w:pPr>
    </w:p>
    <w:p w:rsidR="00111039" w:rsidRPr="00A32BB9" w:rsidRDefault="00111039" w:rsidP="00111039">
      <w:pPr>
        <w:pStyle w:val="ListParagraph"/>
        <w:numPr>
          <w:ilvl w:val="0"/>
          <w:numId w:val="2"/>
        </w:numPr>
        <w:spacing w:after="160" w:line="256" w:lineRule="auto"/>
        <w:contextualSpacing/>
        <w:jc w:val="both"/>
        <w:rPr>
          <w:sz w:val="24"/>
          <w:szCs w:val="24"/>
        </w:rPr>
      </w:pPr>
      <w:r w:rsidRPr="00A32BB9">
        <w:rPr>
          <w:rFonts w:ascii="Sylfaen" w:hAnsi="Sylfaen" w:cs="Sylfaen"/>
          <w:sz w:val="24"/>
          <w:szCs w:val="24"/>
        </w:rPr>
        <w:t>მე</w:t>
      </w:r>
      <w:r w:rsidRPr="00A32BB9">
        <w:rPr>
          <w:sz w:val="24"/>
          <w:szCs w:val="24"/>
        </w:rPr>
        <w:t xml:space="preserve"> - 6 </w:t>
      </w:r>
      <w:r w:rsidRPr="00A32BB9">
        <w:rPr>
          <w:rFonts w:ascii="Sylfaen" w:hAnsi="Sylfaen" w:cs="Sylfaen"/>
          <w:sz w:val="24"/>
          <w:szCs w:val="24"/>
        </w:rPr>
        <w:t>მუხლის</w:t>
      </w:r>
      <w:r w:rsidRPr="00A32BB9">
        <w:rPr>
          <w:sz w:val="24"/>
          <w:szCs w:val="24"/>
        </w:rPr>
        <w:t xml:space="preserve">  72 </w:t>
      </w:r>
      <w:r w:rsidRPr="00A32BB9">
        <w:rPr>
          <w:sz w:val="24"/>
          <w:szCs w:val="24"/>
          <w:vertAlign w:val="superscript"/>
        </w:rPr>
        <w:t>4</w:t>
      </w:r>
      <w:r w:rsidRPr="00A32BB9">
        <w:rPr>
          <w:sz w:val="24"/>
          <w:szCs w:val="24"/>
        </w:rPr>
        <w:t xml:space="preserve"> </w:t>
      </w:r>
      <w:r w:rsidRPr="00A32BB9">
        <w:rPr>
          <w:rFonts w:ascii="Sylfaen" w:hAnsi="Sylfaen" w:cs="Sylfaen"/>
          <w:sz w:val="24"/>
          <w:szCs w:val="24"/>
        </w:rPr>
        <w:t>პუნქტი</w:t>
      </w:r>
      <w:r w:rsidRPr="00A32BB9">
        <w:rPr>
          <w:sz w:val="24"/>
          <w:szCs w:val="24"/>
        </w:rPr>
        <w:t xml:space="preserve"> </w:t>
      </w:r>
      <w:r w:rsidRPr="00A32BB9">
        <w:rPr>
          <w:rFonts w:ascii="Sylfaen" w:hAnsi="Sylfaen" w:cs="Sylfaen"/>
          <w:sz w:val="24"/>
          <w:szCs w:val="24"/>
        </w:rPr>
        <w:t>ჩამოყალიბდს</w:t>
      </w:r>
      <w:r w:rsidRPr="00A32BB9">
        <w:rPr>
          <w:sz w:val="24"/>
          <w:szCs w:val="24"/>
        </w:rPr>
        <w:t xml:space="preserve"> </w:t>
      </w:r>
      <w:r w:rsidRPr="00A32BB9">
        <w:rPr>
          <w:rFonts w:ascii="Sylfaen" w:hAnsi="Sylfaen" w:cs="Sylfaen"/>
          <w:sz w:val="24"/>
          <w:szCs w:val="24"/>
        </w:rPr>
        <w:t>შემდეგი</w:t>
      </w:r>
      <w:r w:rsidRPr="00A32BB9">
        <w:rPr>
          <w:sz w:val="24"/>
          <w:szCs w:val="24"/>
        </w:rPr>
        <w:t xml:space="preserve"> </w:t>
      </w:r>
      <w:r w:rsidRPr="00A32BB9">
        <w:rPr>
          <w:rFonts w:ascii="Sylfaen" w:hAnsi="Sylfaen" w:cs="Sylfaen"/>
          <w:sz w:val="24"/>
          <w:szCs w:val="24"/>
        </w:rPr>
        <w:t>რედაქციით</w:t>
      </w:r>
      <w:r w:rsidRPr="00A32BB9">
        <w:rPr>
          <w:sz w:val="24"/>
          <w:szCs w:val="24"/>
        </w:rPr>
        <w:t>:</w:t>
      </w:r>
    </w:p>
    <w:p w:rsidR="00111039" w:rsidRPr="00A32BB9" w:rsidRDefault="00111039" w:rsidP="00111039">
      <w:pPr>
        <w:pStyle w:val="ListParagraph"/>
        <w:jc w:val="both"/>
        <w:rPr>
          <w:b/>
          <w:sz w:val="24"/>
          <w:szCs w:val="24"/>
        </w:rPr>
      </w:pPr>
      <w:r w:rsidRPr="00A32BB9">
        <w:rPr>
          <w:b/>
          <w:sz w:val="24"/>
          <w:szCs w:val="24"/>
        </w:rPr>
        <w:t>‘’72</w:t>
      </w:r>
      <w:r w:rsidRPr="00A32BB9">
        <w:rPr>
          <w:b/>
          <w:sz w:val="24"/>
          <w:szCs w:val="24"/>
          <w:vertAlign w:val="superscript"/>
        </w:rPr>
        <w:t xml:space="preserve">4 </w:t>
      </w:r>
      <w:r w:rsidRPr="00A32BB9">
        <w:rPr>
          <w:b/>
          <w:sz w:val="24"/>
          <w:szCs w:val="24"/>
        </w:rPr>
        <w:t xml:space="preserve">. </w:t>
      </w:r>
      <w:r w:rsidRPr="00A32BB9">
        <w:rPr>
          <w:rFonts w:ascii="Sylfaen" w:hAnsi="Sylfaen" w:cs="Sylfaen"/>
          <w:b/>
          <w:sz w:val="24"/>
          <w:szCs w:val="24"/>
        </w:rPr>
        <w:t>იდენტიფიცირებული</w:t>
      </w:r>
      <w:r w:rsidRPr="00A32BB9">
        <w:rPr>
          <w:b/>
          <w:sz w:val="24"/>
          <w:szCs w:val="24"/>
        </w:rPr>
        <w:t xml:space="preserve"> </w:t>
      </w:r>
      <w:r w:rsidRPr="00A32BB9">
        <w:rPr>
          <w:rFonts w:ascii="Sylfaen" w:hAnsi="Sylfaen" w:cs="Sylfaen"/>
          <w:b/>
          <w:sz w:val="24"/>
          <w:szCs w:val="24"/>
        </w:rPr>
        <w:t>განსაკუთრებით</w:t>
      </w:r>
      <w:r w:rsidRPr="00A32BB9">
        <w:rPr>
          <w:b/>
          <w:sz w:val="24"/>
          <w:szCs w:val="24"/>
        </w:rPr>
        <w:t xml:space="preserve"> </w:t>
      </w:r>
      <w:r w:rsidRPr="00A32BB9">
        <w:rPr>
          <w:rFonts w:ascii="Sylfaen" w:hAnsi="Sylfaen" w:cs="Sylfaen"/>
          <w:b/>
          <w:sz w:val="24"/>
          <w:szCs w:val="24"/>
        </w:rPr>
        <w:t>საშიში</w:t>
      </w:r>
      <w:r w:rsidRPr="00A32BB9">
        <w:rPr>
          <w:b/>
          <w:sz w:val="24"/>
          <w:szCs w:val="24"/>
        </w:rPr>
        <w:t xml:space="preserve"> </w:t>
      </w:r>
      <w:r w:rsidRPr="00A32BB9">
        <w:rPr>
          <w:rFonts w:ascii="Sylfaen" w:hAnsi="Sylfaen" w:cs="Sylfaen"/>
          <w:b/>
          <w:sz w:val="24"/>
          <w:szCs w:val="24"/>
        </w:rPr>
        <w:t>პათოგენების</w:t>
      </w:r>
      <w:r w:rsidRPr="00A32BB9">
        <w:rPr>
          <w:b/>
          <w:sz w:val="24"/>
          <w:szCs w:val="24"/>
        </w:rPr>
        <w:t xml:space="preserve"> </w:t>
      </w:r>
      <w:r w:rsidRPr="00A32BB9">
        <w:rPr>
          <w:rFonts w:ascii="Sylfaen" w:hAnsi="Sylfaen" w:cs="Sylfaen"/>
          <w:b/>
          <w:sz w:val="24"/>
          <w:szCs w:val="24"/>
        </w:rPr>
        <w:t>ცოცხალ</w:t>
      </w:r>
      <w:r w:rsidRPr="00A32BB9">
        <w:rPr>
          <w:b/>
          <w:sz w:val="24"/>
          <w:szCs w:val="24"/>
        </w:rPr>
        <w:t xml:space="preserve"> </w:t>
      </w:r>
      <w:r w:rsidRPr="00A32BB9">
        <w:rPr>
          <w:rFonts w:ascii="Sylfaen" w:hAnsi="Sylfaen" w:cs="Sylfaen"/>
          <w:b/>
          <w:sz w:val="24"/>
          <w:szCs w:val="24"/>
        </w:rPr>
        <w:t>კულტურებზე</w:t>
      </w:r>
      <w:r w:rsidRPr="00A32BB9">
        <w:rPr>
          <w:b/>
          <w:sz w:val="24"/>
          <w:szCs w:val="24"/>
        </w:rPr>
        <w:t xml:space="preserve"> </w:t>
      </w:r>
      <w:r w:rsidRPr="00A32BB9">
        <w:rPr>
          <w:rFonts w:ascii="Sylfaen" w:hAnsi="Sylfaen" w:cs="Sylfaen"/>
          <w:b/>
          <w:sz w:val="24"/>
          <w:szCs w:val="24"/>
        </w:rPr>
        <w:t>საქმიანობის</w:t>
      </w:r>
      <w:r w:rsidRPr="00A32BB9">
        <w:rPr>
          <w:b/>
          <w:sz w:val="24"/>
          <w:szCs w:val="24"/>
        </w:rPr>
        <w:t xml:space="preserve"> </w:t>
      </w:r>
      <w:r w:rsidRPr="00A32BB9">
        <w:rPr>
          <w:rFonts w:ascii="Sylfaen" w:hAnsi="Sylfaen" w:cs="Sylfaen"/>
          <w:b/>
          <w:sz w:val="24"/>
          <w:szCs w:val="24"/>
        </w:rPr>
        <w:t>ლიცენზია</w:t>
      </w:r>
      <w:r w:rsidRPr="00A32BB9">
        <w:rPr>
          <w:b/>
          <w:sz w:val="24"/>
          <w:szCs w:val="24"/>
        </w:rPr>
        <w:t>.’’</w:t>
      </w:r>
    </w:p>
    <w:p w:rsidR="00111039" w:rsidRPr="00A32BB9" w:rsidRDefault="00111039" w:rsidP="00111039">
      <w:pPr>
        <w:pStyle w:val="ListParagraph"/>
        <w:jc w:val="both"/>
        <w:rPr>
          <w:sz w:val="24"/>
          <w:szCs w:val="24"/>
        </w:rPr>
      </w:pPr>
    </w:p>
    <w:p w:rsidR="00111039" w:rsidRPr="00A32BB9" w:rsidRDefault="00111039" w:rsidP="00111039">
      <w:pPr>
        <w:jc w:val="both"/>
        <w:rPr>
          <w:sz w:val="24"/>
          <w:szCs w:val="24"/>
        </w:rPr>
      </w:pPr>
    </w:p>
    <w:p w:rsidR="00111039" w:rsidRPr="00A32BB9" w:rsidRDefault="00111039" w:rsidP="00111039">
      <w:pPr>
        <w:jc w:val="both"/>
        <w:rPr>
          <w:sz w:val="24"/>
          <w:szCs w:val="24"/>
        </w:rPr>
      </w:pPr>
      <w:r w:rsidRPr="00A32BB9">
        <w:rPr>
          <w:sz w:val="24"/>
          <w:szCs w:val="24"/>
        </w:rPr>
        <w:t>მუხლი 2. ეს კანონი ამოქმედდეს გამოქვეყნებისთანავე.</w:t>
      </w:r>
    </w:p>
    <w:p w:rsidR="00111039" w:rsidRPr="00A32BB9" w:rsidRDefault="00111039" w:rsidP="00111039">
      <w:pPr>
        <w:jc w:val="both"/>
        <w:rPr>
          <w:sz w:val="24"/>
          <w:szCs w:val="24"/>
        </w:rPr>
      </w:pPr>
    </w:p>
    <w:p w:rsidR="00111039" w:rsidRPr="00A32BB9" w:rsidRDefault="00111039" w:rsidP="00111039">
      <w:pPr>
        <w:jc w:val="both"/>
        <w:rPr>
          <w:sz w:val="24"/>
          <w:szCs w:val="24"/>
        </w:rPr>
      </w:pPr>
    </w:p>
    <w:p w:rsidR="00111039" w:rsidRPr="00A32BB9" w:rsidRDefault="00111039" w:rsidP="00111039">
      <w:pPr>
        <w:jc w:val="both"/>
        <w:rPr>
          <w:sz w:val="24"/>
          <w:szCs w:val="24"/>
        </w:rPr>
      </w:pPr>
    </w:p>
    <w:p w:rsidR="00111039" w:rsidRPr="00A32BB9" w:rsidRDefault="00111039" w:rsidP="00111039">
      <w:pPr>
        <w:jc w:val="both"/>
        <w:rPr>
          <w:sz w:val="24"/>
          <w:szCs w:val="24"/>
        </w:rPr>
      </w:pPr>
      <w:r w:rsidRPr="00A32BB9">
        <w:rPr>
          <w:sz w:val="24"/>
          <w:szCs w:val="24"/>
        </w:rPr>
        <w:t>საქართველოს პრეზიდენტი                გიორგი მარგველაშვილი</w:t>
      </w:r>
    </w:p>
    <w:p w:rsidR="00111039" w:rsidRPr="00A32BB9" w:rsidRDefault="00111039" w:rsidP="00BA7A97">
      <w:pPr>
        <w:jc w:val="both"/>
        <w:rPr>
          <w:sz w:val="24"/>
          <w:szCs w:val="24"/>
        </w:rPr>
      </w:pPr>
    </w:p>
    <w:sectPr w:rsidR="00111039" w:rsidRPr="00A32BB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13B1"/>
    <w:multiLevelType w:val="hybridMultilevel"/>
    <w:tmpl w:val="C92AFE6A"/>
    <w:lvl w:ilvl="0" w:tplc="ABF2EF8C">
      <w:start w:val="1"/>
      <w:numFmt w:val="decimal"/>
      <w:lvlText w:val="%1."/>
      <w:lvlJc w:val="left"/>
      <w:pPr>
        <w:ind w:left="720" w:hanging="360"/>
      </w:pPr>
      <w:rPr>
        <w:rFonts w:asciiTheme="majorHAnsi" w:eastAsiaTheme="minorHAnsi" w:hAnsiTheme="maj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DB1DDA"/>
    <w:multiLevelType w:val="hybridMultilevel"/>
    <w:tmpl w:val="F27E871E"/>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start w:val="1"/>
      <w:numFmt w:val="lowerRoman"/>
      <w:lvlText w:val="%3."/>
      <w:lvlJc w:val="right"/>
      <w:pPr>
        <w:ind w:left="2160" w:hanging="180"/>
      </w:pPr>
    </w:lvl>
    <w:lvl w:ilvl="3" w:tplc="0437000F">
      <w:start w:val="1"/>
      <w:numFmt w:val="decimal"/>
      <w:lvlText w:val="%4."/>
      <w:lvlJc w:val="left"/>
      <w:pPr>
        <w:ind w:left="2880" w:hanging="360"/>
      </w:pPr>
    </w:lvl>
    <w:lvl w:ilvl="4" w:tplc="04370019">
      <w:start w:val="1"/>
      <w:numFmt w:val="lowerLetter"/>
      <w:lvlText w:val="%5."/>
      <w:lvlJc w:val="left"/>
      <w:pPr>
        <w:ind w:left="3600" w:hanging="360"/>
      </w:pPr>
    </w:lvl>
    <w:lvl w:ilvl="5" w:tplc="0437001B">
      <w:start w:val="1"/>
      <w:numFmt w:val="lowerRoman"/>
      <w:lvlText w:val="%6."/>
      <w:lvlJc w:val="right"/>
      <w:pPr>
        <w:ind w:left="4320" w:hanging="180"/>
      </w:pPr>
    </w:lvl>
    <w:lvl w:ilvl="6" w:tplc="0437000F">
      <w:start w:val="1"/>
      <w:numFmt w:val="decimal"/>
      <w:lvlText w:val="%7."/>
      <w:lvlJc w:val="left"/>
      <w:pPr>
        <w:ind w:left="5040" w:hanging="360"/>
      </w:pPr>
    </w:lvl>
    <w:lvl w:ilvl="7" w:tplc="04370019">
      <w:start w:val="1"/>
      <w:numFmt w:val="lowerLetter"/>
      <w:lvlText w:val="%8."/>
      <w:lvlJc w:val="left"/>
      <w:pPr>
        <w:ind w:left="5760" w:hanging="360"/>
      </w:pPr>
    </w:lvl>
    <w:lvl w:ilvl="8" w:tplc="043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04"/>
    <w:rsid w:val="00031220"/>
    <w:rsid w:val="000442A1"/>
    <w:rsid w:val="000676CA"/>
    <w:rsid w:val="00076770"/>
    <w:rsid w:val="00111039"/>
    <w:rsid w:val="001321F5"/>
    <w:rsid w:val="002360E6"/>
    <w:rsid w:val="002C0AFA"/>
    <w:rsid w:val="004C6B92"/>
    <w:rsid w:val="00530E3B"/>
    <w:rsid w:val="005979C3"/>
    <w:rsid w:val="006016DB"/>
    <w:rsid w:val="00611FBE"/>
    <w:rsid w:val="00663EB8"/>
    <w:rsid w:val="006808CD"/>
    <w:rsid w:val="006D1AC7"/>
    <w:rsid w:val="006D6F33"/>
    <w:rsid w:val="0081010C"/>
    <w:rsid w:val="0090240A"/>
    <w:rsid w:val="00A32BB9"/>
    <w:rsid w:val="00B14FCD"/>
    <w:rsid w:val="00B638FF"/>
    <w:rsid w:val="00BA7A97"/>
    <w:rsid w:val="00BE2192"/>
    <w:rsid w:val="00CC2E30"/>
    <w:rsid w:val="00CD6304"/>
    <w:rsid w:val="00CD689E"/>
    <w:rsid w:val="00CF5019"/>
    <w:rsid w:val="00E13CE4"/>
    <w:rsid w:val="00E93AB5"/>
    <w:rsid w:val="00EA2AF9"/>
    <w:rsid w:val="00EE0811"/>
    <w:rsid w:val="00FF218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E9C2"/>
  <w15:chartTrackingRefBased/>
  <w15:docId w15:val="{1FC65E99-6582-4FDB-B10B-E2368C1A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E30"/>
    <w:pPr>
      <w:spacing w:after="0" w:line="240" w:lineRule="auto"/>
      <w:ind w:left="720"/>
    </w:pPr>
    <w:rPr>
      <w:rFonts w:ascii="Calibri" w:hAnsi="Calibri" w:cs="Times New Roman"/>
      <w:lang w:eastAsia="ka-GE"/>
    </w:rPr>
  </w:style>
  <w:style w:type="paragraph" w:customStyle="1" w:styleId="Normal0">
    <w:name w:val="[Normal]"/>
    <w:uiPriority w:val="99"/>
    <w:rsid w:val="00111039"/>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21530">
      <w:bodyDiv w:val="1"/>
      <w:marLeft w:val="0"/>
      <w:marRight w:val="0"/>
      <w:marTop w:val="0"/>
      <w:marBottom w:val="0"/>
      <w:divBdr>
        <w:top w:val="none" w:sz="0" w:space="0" w:color="auto"/>
        <w:left w:val="none" w:sz="0" w:space="0" w:color="auto"/>
        <w:bottom w:val="none" w:sz="0" w:space="0" w:color="auto"/>
        <w:right w:val="none" w:sz="0" w:space="0" w:color="auto"/>
      </w:divBdr>
    </w:div>
    <w:div w:id="11284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Ebanoidze</dc:creator>
  <cp:keywords/>
  <dc:description/>
  <cp:lastModifiedBy>Lali Ebanoidze</cp:lastModifiedBy>
  <cp:revision>3</cp:revision>
  <dcterms:created xsi:type="dcterms:W3CDTF">2017-03-01T10:09:00Z</dcterms:created>
  <dcterms:modified xsi:type="dcterms:W3CDTF">2017-03-01T11:38:00Z</dcterms:modified>
</cp:coreProperties>
</file>